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900"/>
        <w:gridCol w:w="128"/>
        <w:gridCol w:w="514"/>
        <w:gridCol w:w="420"/>
        <w:gridCol w:w="725"/>
        <w:gridCol w:w="216"/>
        <w:gridCol w:w="225"/>
        <w:gridCol w:w="628"/>
        <w:gridCol w:w="72"/>
        <w:gridCol w:w="654"/>
        <w:gridCol w:w="162"/>
        <w:gridCol w:w="387"/>
        <w:gridCol w:w="86"/>
        <w:gridCol w:w="110"/>
        <w:gridCol w:w="741"/>
        <w:gridCol w:w="56"/>
        <w:gridCol w:w="1295"/>
        <w:gridCol w:w="10"/>
      </w:tblGrid>
      <w:tr w14:paraId="38E33E9A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316724" w:rsidR="00E63A21" w:rsidRPr="00A220C2" w:rsidRDefault="00106D44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  <w:lang w:val="es-ES" w:eastAsia="es-ES"/>
              </w:rPr>
              <w:t xml:space="preserve"> </w:t>
            </w:r>
            <w:r w:rsidR="004F00A5">
              <w:rPr>
                <w:rFonts w:cs="Arial"/>
                <w:noProof/>
                <w:szCs w:val="18"/>
              </w:rPr>
              <w:drawing>
                <wp:inline wp14:anchorId="60609B7B" wp14:editId="7777777" distT="0" distB="0" distL="0" distR="0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F7C43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D36F3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157F5320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6239F6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F9545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29F7A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7D4C1A3D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0DDF798C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9D9B78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4E4C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9ECC7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659D2671" w:rsidR="00E63A21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ACF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AB42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6BB5C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541665B6" w:rsidR="00E63A21" w:rsidRPr="00BD1A84" w:rsidTr="003A255C">
        <w:trPr>
          <w:gridAfter w:val="1"/>
          <w:wAfter w:w="8" w:type="dxa"/>
          <w:trHeight w:val="285"/>
          <w:jc w:val="center"/>
        </w:trPr>
        <w:tc>
          <w:tcPr>
            <w:tcW w:w="10488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BE66E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01D1E795" w:rsidR="00E63A21" w:rsidRPr="003D005E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A995E1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232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4E573E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590C1DDE" w:rsidR="00E63A21" w:rsidRPr="00A220C2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7DC2EB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232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18865C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721220A6" w:rsidR="00E63A21" w:rsidRPr="00A220C2" w:rsidTr="00A8761E">
        <w:trPr>
          <w:trHeight w:val="454"/>
          <w:jc w:val="center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D5BD38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A82B9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2FD2C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2E86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86C45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CA6ED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9B0A5D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32986D58" w:rsidR="00E63A21" w:rsidRPr="00A220C2" w:rsidTr="000D3174">
        <w:trPr>
          <w:trHeight w:val="454"/>
          <w:jc w:val="center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8FF67D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679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8F9CB" w:rsidR="00E63A21" w:rsidRPr="008C608F" w:rsidRDefault="00A12FDD" w:rsidP="008F3B82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FRACCIÓN APROVECHABLE DE RESIDUOS GENERADOS</w:t>
            </w:r>
            <w:r w:rsidR="008F3B82">
              <w:rPr>
                <w:rFonts w:cs="Arial"/>
                <w:b/>
                <w:szCs w:val="18"/>
              </w:rPr>
              <w:t xml:space="preserve"> </w:t>
            </w:r>
          </w:p>
        </w:tc>
      </w:tr>
      <w:tr w14:paraId="51E970E5" w:rsidR="00E63A21" w:rsidRPr="00A220C2" w:rsidTr="008F587D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580EBF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DD91F" w:rsidR="00E63A21" w:rsidRPr="00BD1A84" w:rsidRDefault="00E63A21" w:rsidP="00D4005C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27617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="005422A1" w:rsidRPr="005422A1">
              <w:rPr>
                <w:rFonts w:cs="Arial"/>
                <w:b/>
                <w:szCs w:val="18"/>
              </w:rPr>
              <w:t>X</w:t>
            </w:r>
            <w:r w:rsidRPr="005422A1">
              <w:rPr>
                <w:rFonts w:cs="Arial"/>
                <w:b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10CB7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</w:p>
        </w:tc>
      </w:tr>
      <w:tr w14:paraId="6399B1CF" w:rsidR="00E63A21" w:rsidRPr="00A220C2" w:rsidTr="008F587D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D7E21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B8070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 xml:space="preserve">Ascendente         </w:t>
            </w:r>
            <w:r w:rsidR="00024B3D">
              <w:rPr>
                <w:rFonts w:cs="Arial"/>
                <w:szCs w:val="18"/>
              </w:rPr>
              <w:t xml:space="preserve"> </w:t>
            </w:r>
            <w:r w:rsidR="00693ECC" w:rsidRPr="004F34DF">
              <w:rPr>
                <w:rFonts w:cs="Arial"/>
                <w:b/>
                <w:szCs w:val="18"/>
              </w:rPr>
              <w:t>X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7F0B8" w:rsidR="00E63A21" w:rsidRPr="008F587D" w:rsidRDefault="00E63A21" w:rsidP="00693ECC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268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F2CB1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</w:p>
        </w:tc>
      </w:tr>
      <w:tr w14:paraId="3C0E0319" w:rsidR="00E63A21" w:rsidRPr="00A220C2" w:rsidTr="001B2454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5FC624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7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C5652" w:rsidR="00E63A21" w:rsidRPr="009F13F6" w:rsidRDefault="008F3BAA" w:rsidP="00EA3A85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Eficacia del p</w:t>
            </w:r>
            <w:r w:rsidR="00024B3D">
              <w:rPr>
                <w:rFonts w:cs="Arial"/>
                <w:szCs w:val="18"/>
              </w:rPr>
              <w:t>rograma de</w:t>
            </w:r>
            <w:r w:rsidR="00EA3A85">
              <w:rPr>
                <w:rFonts w:cs="Arial"/>
                <w:szCs w:val="18"/>
              </w:rPr>
              <w:t xml:space="preserve"> gestión integral de residuos no peligrosos</w:t>
            </w:r>
          </w:p>
        </w:tc>
      </w:tr>
      <w:tr w14:paraId="6FBB73E2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510422" w:rsidR="00E63A21" w:rsidRPr="00A220C2" w:rsidRDefault="00E63A21" w:rsidP="00EA3A85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EA3A85">
              <w:rPr>
                <w:rFonts w:cs="Arial"/>
                <w:szCs w:val="18"/>
              </w:rPr>
              <w:t>Decreto 2</w:t>
            </w:r>
            <w:r w:rsidR="00CC694C">
              <w:rPr>
                <w:rFonts w:cs="Arial"/>
                <w:szCs w:val="18"/>
              </w:rPr>
              <w:t>9</w:t>
            </w:r>
            <w:r w:rsidR="00EA3A85">
              <w:rPr>
                <w:rFonts w:cs="Arial"/>
                <w:szCs w:val="18"/>
              </w:rPr>
              <w:t>81</w:t>
            </w:r>
            <w:r w:rsidR="005422A1" w:rsidRPr="005422A1">
              <w:rPr>
                <w:rFonts w:cs="Arial"/>
                <w:szCs w:val="18"/>
              </w:rPr>
              <w:t xml:space="preserve"> de </w:t>
            </w:r>
            <w:r w:rsidR="00CC694C">
              <w:rPr>
                <w:rFonts w:cs="Arial"/>
                <w:szCs w:val="18"/>
              </w:rPr>
              <w:t>201</w:t>
            </w:r>
            <w:r w:rsidR="00EA3A85">
              <w:rPr>
                <w:rFonts w:cs="Arial"/>
                <w:szCs w:val="18"/>
              </w:rPr>
              <w:t>3</w:t>
            </w:r>
            <w:r w:rsidR="005422A1" w:rsidRPr="005422A1">
              <w:rPr>
                <w:rFonts w:cs="Arial"/>
                <w:szCs w:val="18"/>
              </w:rPr>
              <w:t xml:space="preserve">. </w:t>
            </w:r>
            <w:r w:rsidR="00EA3A85">
              <w:rPr>
                <w:rFonts w:cs="Arial"/>
                <w:szCs w:val="18"/>
              </w:rPr>
              <w:t>Ministerio de vivienda, ciudad y territorio.</w:t>
            </w:r>
            <w:r w:rsidR="0017671C">
              <w:rPr>
                <w:rFonts w:cs="Arial"/>
                <w:szCs w:val="18"/>
              </w:rPr>
              <w:t xml:space="preserve"> </w:t>
            </w:r>
            <w:r w:rsidR="00EA3A85">
              <w:rPr>
                <w:rFonts w:cs="Arial"/>
                <w:szCs w:val="18"/>
              </w:rPr>
              <w:t>Se reglamenta la prestación del servicio público de aseo</w:t>
            </w:r>
            <w:r w:rsidR="00045DCE" w:rsidRPr="00045DCE">
              <w:rPr>
                <w:rFonts w:cs="Arial"/>
                <w:szCs w:val="18"/>
              </w:rPr>
              <w:t xml:space="preserve">.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 xml:space="preserve">. Política Ambiental de la Universidad </w:t>
            </w:r>
          </w:p>
        </w:tc>
      </w:tr>
      <w:tr w14:paraId="1BE1DAC6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1F054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32E039E3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9A8B8" w:rsidR="00CF6A0F" w:rsidRDefault="0017671C" w:rsidP="0017671C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Peso promedio en kg </w:t>
            </w:r>
            <w:r w:rsidR="00582456">
              <w:rPr>
                <w:rFonts w:cs="Arial"/>
                <w:bCs/>
                <w:szCs w:val="18"/>
              </w:rPr>
              <w:t>de</w:t>
            </w:r>
            <w:r>
              <w:rPr>
                <w:rFonts w:cs="Arial"/>
                <w:bCs/>
                <w:szCs w:val="18"/>
              </w:rPr>
              <w:t xml:space="preserve"> los</w:t>
            </w:r>
            <w:r w:rsidR="00693ECC">
              <w:rPr>
                <w:rFonts w:cs="Arial"/>
                <w:bCs/>
                <w:szCs w:val="18"/>
              </w:rPr>
              <w:t xml:space="preserve"> diferentes materiales y/o elementos </w:t>
            </w:r>
            <w:proofErr w:type="gramStart"/>
            <w:r w:rsidR="00A12FDD">
              <w:rPr>
                <w:rFonts w:cs="Arial"/>
                <w:bCs/>
                <w:szCs w:val="18"/>
              </w:rPr>
              <w:t xml:space="preserve">aprovechables </w:t>
            </w:r>
            <w:r w:rsidR="008F3BAA">
              <w:rPr>
                <w:rFonts w:cs="Arial"/>
                <w:bCs/>
                <w:szCs w:val="18"/>
              </w:rPr>
              <w:t>.</w:t>
            </w:r>
            <w:proofErr w:type="gramEnd"/>
          </w:p>
          <w:p w14:paraId="60E30FE5" w:rsidR="0017671C" w:rsidRPr="00E91083" w:rsidRDefault="0017671C" w:rsidP="00A25748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D75906">
              <w:rPr>
                <w:rFonts w:cs="Arial"/>
                <w:b/>
                <w:bCs/>
                <w:szCs w:val="18"/>
              </w:rPr>
              <w:t>Re</w:t>
            </w:r>
            <w:r w:rsidR="00693ECC">
              <w:rPr>
                <w:rFonts w:cs="Arial"/>
                <w:b/>
                <w:bCs/>
                <w:szCs w:val="18"/>
              </w:rPr>
              <w:t xml:space="preserve">ciclaje: </w:t>
            </w:r>
            <w:r w:rsidR="00D75906">
              <w:rPr>
                <w:rFonts w:cs="Arial"/>
                <w:bCs/>
                <w:szCs w:val="18"/>
              </w:rPr>
              <w:t>(Tomado del</w:t>
            </w:r>
            <w:r w:rsidR="000F16EF">
              <w:rPr>
                <w:rFonts w:cs="Arial"/>
                <w:bCs/>
                <w:szCs w:val="18"/>
              </w:rPr>
              <w:t xml:space="preserve"> Manual para el manejo integral de residuos en el valle de Aburra)</w:t>
            </w:r>
            <w:r w:rsidR="00D75906">
              <w:rPr>
                <w:rFonts w:cs="Arial"/>
                <w:bCs/>
                <w:szCs w:val="18"/>
              </w:rPr>
              <w:t xml:space="preserve"> “</w:t>
            </w:r>
            <w:r>
              <w:rPr>
                <w:rFonts w:cs="Arial"/>
                <w:bCs/>
                <w:szCs w:val="18"/>
              </w:rPr>
              <w:t xml:space="preserve">Es </w:t>
            </w:r>
            <w:r w:rsidR="000F16EF">
              <w:rPr>
                <w:rFonts w:cs="Arial"/>
                <w:bCs/>
                <w:szCs w:val="18"/>
              </w:rPr>
              <w:t>el proceso mediante el cual se aprovechan y transforman los residuos recuperados y se devuelve a los materiales su potencialidad de reincorporación como materia prima para la fabricación de nuevos productos</w:t>
            </w:r>
            <w:r w:rsidR="00D75906">
              <w:rPr>
                <w:rFonts w:cs="Arial"/>
                <w:bCs/>
                <w:szCs w:val="18"/>
              </w:rPr>
              <w:t>”.</w:t>
            </w:r>
            <w:r w:rsidR="000F16EF">
              <w:rPr>
                <w:rFonts w:cs="Arial"/>
                <w:bCs/>
                <w:szCs w:val="18"/>
              </w:rPr>
              <w:t xml:space="preserve"> En este sentido, se incluyen materiales como: cartón, papel, diferentes metales, plásticos, madera que pueda ser valorizada, material </w:t>
            </w:r>
            <w:proofErr w:type="spellStart"/>
            <w:r w:rsidR="000F16EF">
              <w:rPr>
                <w:rFonts w:cs="Arial"/>
                <w:bCs/>
                <w:szCs w:val="18"/>
              </w:rPr>
              <w:t>compostado</w:t>
            </w:r>
            <w:proofErr w:type="spellEnd"/>
            <w:r w:rsidR="000F16EF">
              <w:rPr>
                <w:rFonts w:cs="Arial"/>
                <w:bCs/>
                <w:szCs w:val="18"/>
              </w:rPr>
              <w:t xml:space="preserve"> y demás elementos que por su potencial generen una utilidad posterior al ser desechados por </w:t>
            </w:r>
            <w:r w:rsidR="00A25748">
              <w:rPr>
                <w:rFonts w:cs="Arial"/>
                <w:bCs/>
                <w:szCs w:val="18"/>
              </w:rPr>
              <w:t xml:space="preserve">alguna </w:t>
            </w:r>
            <w:r w:rsidR="000F16EF">
              <w:rPr>
                <w:rFonts w:cs="Arial"/>
                <w:bCs/>
                <w:szCs w:val="18"/>
              </w:rPr>
              <w:t>dependencia o proceso de</w:t>
            </w:r>
            <w:r w:rsidR="00A25748">
              <w:rPr>
                <w:rFonts w:cs="Arial"/>
                <w:bCs/>
                <w:szCs w:val="18"/>
              </w:rPr>
              <w:t>sarrollado en</w:t>
            </w:r>
            <w:r w:rsidR="000F16EF">
              <w:rPr>
                <w:rFonts w:cs="Arial"/>
                <w:bCs/>
                <w:szCs w:val="18"/>
              </w:rPr>
              <w:t xml:space="preserve"> la universidad</w:t>
            </w:r>
          </w:p>
        </w:tc>
      </w:tr>
      <w:tr w14:paraId="07547D9D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1B958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0EF4B096" w:rsidR="00E63A21" w:rsidRPr="00BD1A84" w:rsidTr="00EE0B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236D3279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FORMULA DEL INDICADOR</w:t>
            </w:r>
          </w:p>
        </w:tc>
        <w:tc>
          <w:tcPr>
            <w:tcW w:w="1805" w:type="dxa"/>
            <w:gridSpan w:val="4"/>
            <w:vAlign w:val="center"/>
          </w:tcPr>
          <w:p w14:paraId="7E8C7CBD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FUENTE DE DATOS</w:t>
            </w:r>
          </w:p>
        </w:tc>
        <w:tc>
          <w:tcPr>
            <w:tcW w:w="1787" w:type="dxa"/>
            <w:gridSpan w:val="4"/>
            <w:vAlign w:val="center"/>
          </w:tcPr>
          <w:p w14:paraId="2605128C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NIVEL DE APLICABILIDAD</w:t>
            </w:r>
          </w:p>
        </w:tc>
        <w:tc>
          <w:tcPr>
            <w:tcW w:w="1069" w:type="dxa"/>
            <w:gridSpan w:val="3"/>
            <w:vAlign w:val="center"/>
          </w:tcPr>
          <w:p w14:paraId="7C5FA24D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FRECUENCIA DE MEDICIÓN</w:t>
            </w:r>
          </w:p>
        </w:tc>
        <w:tc>
          <w:tcPr>
            <w:tcW w:w="1275" w:type="dxa"/>
            <w:gridSpan w:val="4"/>
            <w:vAlign w:val="center"/>
          </w:tcPr>
          <w:p w14:paraId="0C8931D2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UNIDAD DE MEDIDA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70D46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META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50F48A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RESPONSABLE DE LA MEDICIÓN</w:t>
            </w:r>
          </w:p>
        </w:tc>
      </w:tr>
      <w:tr w14:paraId="72F143EF" w:rsidR="00E63A21" w:rsidRPr="00BD1A84" w:rsidTr="00EE0B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24017F6F" w:rsidR="00E63A21" w:rsidRPr="00BD1A84" w:rsidRDefault="008F3B82" w:rsidP="00A12FD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Kilogramos de </w:t>
            </w:r>
            <w:r w:rsidR="00A12FDD">
              <w:rPr>
                <w:rFonts w:cs="Arial"/>
                <w:sz w:val="16"/>
                <w:szCs w:val="16"/>
              </w:rPr>
              <w:t xml:space="preserve"> residuos</w:t>
            </w:r>
            <w:r>
              <w:rPr>
                <w:rFonts w:cs="Arial"/>
                <w:sz w:val="16"/>
                <w:szCs w:val="16"/>
              </w:rPr>
              <w:t xml:space="preserve"> aprovechables generado</w:t>
            </w:r>
            <w:r w:rsidR="001014DB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 xml:space="preserve"> en la Sede en un semestre / Kilogramos de residuos sólidos totales no peligrosos generados en la Sede en un semestre</w:t>
            </w:r>
          </w:p>
        </w:tc>
        <w:tc>
          <w:tcPr>
            <w:tcW w:w="1805" w:type="dxa"/>
            <w:gridSpan w:val="4"/>
            <w:vAlign w:val="center"/>
          </w:tcPr>
          <w:p w14:paraId="7E0D2FF3" w:rsidR="00E63A21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Mediciones directas en los </w:t>
            </w:r>
            <w:r w:rsidR="00100D34">
              <w:rPr>
                <w:rFonts w:cs="Arial"/>
                <w:sz w:val="16"/>
                <w:szCs w:val="16"/>
              </w:rPr>
              <w:t>c</w:t>
            </w:r>
            <w:r w:rsidR="00A25748">
              <w:rPr>
                <w:rFonts w:cs="Arial"/>
                <w:sz w:val="16"/>
                <w:szCs w:val="16"/>
              </w:rPr>
              <w:t>entros de reciclaje y aprovechamiento de materiales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25748">
              <w:rPr>
                <w:rFonts w:cs="Arial"/>
                <w:sz w:val="16"/>
                <w:szCs w:val="16"/>
              </w:rPr>
              <w:t>Facturas y/o r</w:t>
            </w:r>
            <w:r>
              <w:rPr>
                <w:rFonts w:cs="Arial"/>
                <w:sz w:val="16"/>
                <w:szCs w:val="16"/>
              </w:rPr>
              <w:t xml:space="preserve">ecibos </w:t>
            </w:r>
            <w:r w:rsidR="00A25748">
              <w:rPr>
                <w:rFonts w:cs="Arial"/>
                <w:sz w:val="16"/>
                <w:szCs w:val="16"/>
              </w:rPr>
              <w:t>de entrega de materiales a ser aprovechados y/o reusados</w:t>
            </w:r>
            <w:r w:rsidR="00803BE8">
              <w:rPr>
                <w:rFonts w:cs="Arial"/>
                <w:sz w:val="16"/>
                <w:szCs w:val="16"/>
              </w:rPr>
              <w:t>.</w:t>
            </w:r>
          </w:p>
          <w:p w14:paraId="1F3A3104" w:rsidR="00045DCE" w:rsidRPr="00BD1A84" w:rsidRDefault="00045DCE" w:rsidP="008F3BA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87" w:type="dxa"/>
            <w:gridSpan w:val="4"/>
            <w:vAlign w:val="center"/>
          </w:tcPr>
          <w:p w14:paraId="06A53A5D" w:rsidR="00E63A21" w:rsidRPr="00BD1A84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Nivel Nacional</w:t>
            </w:r>
          </w:p>
        </w:tc>
        <w:tc>
          <w:tcPr>
            <w:tcW w:w="1069" w:type="dxa"/>
            <w:gridSpan w:val="3"/>
            <w:vAlign w:val="center"/>
          </w:tcPr>
          <w:p w14:paraId="4F2EAC9C" w:rsidR="00E63A21" w:rsidRPr="00BD1A84" w:rsidRDefault="008F3B82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Semestral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70088C96" w:rsidR="008F3B82" w:rsidDel="008F3B82" w:rsidRDefault="00A12FDD" w:rsidP="008F3B8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Fracción de</w:t>
            </w:r>
            <w:r w:rsidR="00100D34">
              <w:rPr>
                <w:rFonts w:cs="Arial"/>
                <w:sz w:val="16"/>
                <w:szCs w:val="16"/>
              </w:rPr>
              <w:t xml:space="preserve">– </w:t>
            </w:r>
            <w:r>
              <w:rPr>
                <w:rFonts w:cs="Arial"/>
                <w:sz w:val="16"/>
                <w:szCs w:val="16"/>
              </w:rPr>
              <w:t xml:space="preserve">residuos </w:t>
            </w:r>
            <w:r w:rsidR="008F3B82">
              <w:rPr>
                <w:rFonts w:cs="Arial"/>
                <w:sz w:val="16"/>
                <w:szCs w:val="16"/>
              </w:rPr>
              <w:t>aprovechables- semestre</w:t>
            </w:r>
          </w:p>
          <w:p w14:paraId="6DC97056" w:rsidR="00045DCE" w:rsidRPr="00045DCE" w:rsidRDefault="00045DC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ADD" w:rsidR="00E63A21" w:rsidRPr="00BD1A84" w:rsidRDefault="00045DCE" w:rsidP="00100D3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Definida por el Comité ambiental de sede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0FE412" w:rsidR="00E63A21" w:rsidRPr="00BD1A84" w:rsidRDefault="008F3B82" w:rsidP="0034290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Servicios Generales – Coordinación de Aseo</w:t>
            </w:r>
          </w:p>
        </w:tc>
      </w:tr>
      <w:tr w14:paraId="0CD0D91D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009D6D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5E55D232" w:rsidR="00E63A21" w:rsidRPr="00BD1A84" w:rsidTr="00C92A55">
        <w:trPr>
          <w:trHeight w:val="368"/>
          <w:jc w:val="center"/>
        </w:trPr>
        <w:tc>
          <w:tcPr>
            <w:tcW w:w="316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C959AB" w:rsidR="00E63A21" w:rsidRPr="004F34DF" w:rsidRDefault="00E63A21" w:rsidP="00A25748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100D34">
              <w:rPr>
                <w:rFonts w:cs="Arial"/>
                <w:sz w:val="16"/>
                <w:szCs w:val="16"/>
              </w:rPr>
              <w:t xml:space="preserve"> </w:t>
            </w:r>
            <w:r w:rsidR="00A25748">
              <w:rPr>
                <w:rFonts w:cs="Arial"/>
                <w:sz w:val="16"/>
                <w:szCs w:val="16"/>
              </w:rPr>
              <w:t xml:space="preserve">Reciclaje </w:t>
            </w:r>
            <w:r w:rsidR="00100D34">
              <w:rPr>
                <w:rFonts w:cs="Arial"/>
                <w:sz w:val="16"/>
                <w:szCs w:val="16"/>
              </w:rPr>
              <w:t xml:space="preserve">de </w:t>
            </w:r>
            <w:r w:rsidR="00A25748">
              <w:rPr>
                <w:rFonts w:cs="Arial"/>
                <w:sz w:val="16"/>
                <w:szCs w:val="16"/>
              </w:rPr>
              <w:t xml:space="preserve">materiales </w:t>
            </w:r>
            <w:r w:rsidR="00100D34">
              <w:rPr>
                <w:rFonts w:cs="Arial"/>
                <w:sz w:val="16"/>
                <w:szCs w:val="16"/>
              </w:rPr>
              <w:t xml:space="preserve">alrededor </w:t>
            </w:r>
            <w:r w:rsidR="005F7792">
              <w:rPr>
                <w:rFonts w:cs="Arial"/>
                <w:sz w:val="16"/>
                <w:szCs w:val="16"/>
              </w:rPr>
              <w:t>del  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 </w:t>
            </w:r>
            <w:r w:rsidR="004F34DF" w:rsidRPr="004F34DF">
              <w:rPr>
                <w:rFonts w:cs="Arial"/>
                <w:sz w:val="16"/>
                <w:szCs w:val="16"/>
              </w:rPr>
              <w:t>de</w:t>
            </w:r>
            <w:r w:rsidR="00A25748" w:rsidRPr="004F34DF">
              <w:rPr>
                <w:rFonts w:cs="Arial"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sz w:val="16"/>
                <w:szCs w:val="16"/>
              </w:rPr>
              <w:t>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041D8D" w:rsidR="00E63A21" w:rsidRPr="004F34DF" w:rsidRDefault="00E63A21" w:rsidP="00A25748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A25748">
              <w:rPr>
                <w:sz w:val="16"/>
                <w:szCs w:val="16"/>
              </w:rPr>
              <w:t xml:space="preserve">Disminución </w:t>
            </w:r>
            <w:r w:rsidR="00815014">
              <w:rPr>
                <w:sz w:val="16"/>
                <w:szCs w:val="16"/>
              </w:rPr>
              <w:t>de</w:t>
            </w:r>
            <w:r w:rsidR="00A25748">
              <w:rPr>
                <w:sz w:val="16"/>
                <w:szCs w:val="16"/>
              </w:rPr>
              <w:t xml:space="preserve">l reciclaje de materiales </w:t>
            </w:r>
            <w:r w:rsidR="005F7792">
              <w:rPr>
                <w:sz w:val="16"/>
                <w:szCs w:val="16"/>
              </w:rPr>
              <w:t>e</w:t>
            </w:r>
            <w:r w:rsidR="004F34DF" w:rsidRPr="004F34DF">
              <w:rPr>
                <w:sz w:val="16"/>
                <w:szCs w:val="16"/>
              </w:rPr>
              <w:t>ntre el 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49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75F713" w:rsidR="00E63A21" w:rsidRPr="004F34DF" w:rsidRDefault="00E63A21" w:rsidP="00A25748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5F779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A25748">
              <w:rPr>
                <w:rFonts w:cs="Arial"/>
                <w:bCs/>
                <w:sz w:val="16"/>
                <w:szCs w:val="16"/>
              </w:rPr>
              <w:t xml:space="preserve">Reducción </w:t>
            </w:r>
            <w:r w:rsidR="00DA5F29">
              <w:rPr>
                <w:sz w:val="16"/>
                <w:szCs w:val="16"/>
              </w:rPr>
              <w:t>de</w:t>
            </w:r>
            <w:r w:rsidR="00A25748">
              <w:rPr>
                <w:sz w:val="16"/>
                <w:szCs w:val="16"/>
              </w:rPr>
              <w:t>l reciclaje de materiales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119E2C67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C78949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1971E449" w:rsidR="00E63A21" w:rsidRPr="00BD1A84" w:rsidTr="000D3174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96917F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AB698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PERIODO</w:t>
            </w:r>
          </w:p>
        </w:tc>
      </w:tr>
      <w:tr w14:paraId="51BAD079" w:rsidR="00E63A21" w:rsidRPr="00BD1A84" w:rsidTr="00B724F6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C49F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CE698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47C2E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7B78D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35E29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40A0A6A6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F959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FA2B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73A0F81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C4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32A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6FC2D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475DE8C1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83AA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  <w:p w14:paraId="6D529630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54D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98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786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94E2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02487FFE" w:rsidR="00E63A21" w:rsidRPr="00BD1A84" w:rsidTr="00B724F6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5F06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C4A6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41236C8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C53E02F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1CBE725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56EA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14E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685AA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1466E625" w:rsidR="00E63A21" w:rsidRPr="00A220C2" w:rsidTr="000D3174">
        <w:trPr>
          <w:trHeight w:val="54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81904" w:rsidR="00E63A21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73174D88" w:rsidR="00E63A21" w:rsidRPr="00A220C2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p w14:paraId="5AD07BC7" w:rsidR="00E63A21" w:rsidRDefault="00E63A21" w:rsidP="00A07B03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207D9"/>
    <w:rsid w:val="00024B3D"/>
    <w:rsid w:val="00045DCE"/>
    <w:rsid w:val="000522FB"/>
    <w:rsid w:val="00083437"/>
    <w:rsid w:val="000A08A5"/>
    <w:rsid w:val="000A3E12"/>
    <w:rsid w:val="000D3174"/>
    <w:rsid w:val="000F16EF"/>
    <w:rsid w:val="000F1E01"/>
    <w:rsid w:val="000F5B2B"/>
    <w:rsid w:val="00100D34"/>
    <w:rsid w:val="001014DB"/>
    <w:rsid w:val="00106D44"/>
    <w:rsid w:val="00107735"/>
    <w:rsid w:val="0017671C"/>
    <w:rsid w:val="0019293B"/>
    <w:rsid w:val="001B2454"/>
    <w:rsid w:val="00223D28"/>
    <w:rsid w:val="00225A2E"/>
    <w:rsid w:val="0023380B"/>
    <w:rsid w:val="00237D06"/>
    <w:rsid w:val="00264A60"/>
    <w:rsid w:val="00292A72"/>
    <w:rsid w:val="002C68EF"/>
    <w:rsid w:val="00301FBE"/>
    <w:rsid w:val="00302B2C"/>
    <w:rsid w:val="00304477"/>
    <w:rsid w:val="00342905"/>
    <w:rsid w:val="00354A4F"/>
    <w:rsid w:val="00390110"/>
    <w:rsid w:val="003A255C"/>
    <w:rsid w:val="003C62DA"/>
    <w:rsid w:val="003D005E"/>
    <w:rsid w:val="00410A1E"/>
    <w:rsid w:val="0041342E"/>
    <w:rsid w:val="00462E2C"/>
    <w:rsid w:val="004C0C1E"/>
    <w:rsid w:val="004C6BC2"/>
    <w:rsid w:val="004F00A5"/>
    <w:rsid w:val="004F34DF"/>
    <w:rsid w:val="005422A1"/>
    <w:rsid w:val="005759E0"/>
    <w:rsid w:val="00582456"/>
    <w:rsid w:val="005E4602"/>
    <w:rsid w:val="005F7792"/>
    <w:rsid w:val="005F795A"/>
    <w:rsid w:val="00663924"/>
    <w:rsid w:val="00664F27"/>
    <w:rsid w:val="00674305"/>
    <w:rsid w:val="00693ECC"/>
    <w:rsid w:val="006A3A85"/>
    <w:rsid w:val="006D0DD6"/>
    <w:rsid w:val="007D68A0"/>
    <w:rsid w:val="00803BE8"/>
    <w:rsid w:val="00815014"/>
    <w:rsid w:val="00870FF2"/>
    <w:rsid w:val="0089648B"/>
    <w:rsid w:val="008C608F"/>
    <w:rsid w:val="008F3B82"/>
    <w:rsid w:val="008F3BAA"/>
    <w:rsid w:val="008F587D"/>
    <w:rsid w:val="00904548"/>
    <w:rsid w:val="009A3CA9"/>
    <w:rsid w:val="009D5BA9"/>
    <w:rsid w:val="009F13F6"/>
    <w:rsid w:val="009F7DA0"/>
    <w:rsid w:val="00A07B03"/>
    <w:rsid w:val="00A12FDD"/>
    <w:rsid w:val="00A15500"/>
    <w:rsid w:val="00A220C2"/>
    <w:rsid w:val="00A25748"/>
    <w:rsid w:val="00A31386"/>
    <w:rsid w:val="00A63CFA"/>
    <w:rsid w:val="00A8761E"/>
    <w:rsid w:val="00AC60EF"/>
    <w:rsid w:val="00B31D78"/>
    <w:rsid w:val="00B67E2F"/>
    <w:rsid w:val="00B724F6"/>
    <w:rsid w:val="00B8045E"/>
    <w:rsid w:val="00BD1A84"/>
    <w:rsid w:val="00BE6D66"/>
    <w:rsid w:val="00BF4014"/>
    <w:rsid w:val="00C22C17"/>
    <w:rsid w:val="00C363B6"/>
    <w:rsid w:val="00C92A55"/>
    <w:rsid w:val="00CC694C"/>
    <w:rsid w:val="00CF6A0F"/>
    <w:rsid w:val="00D4005C"/>
    <w:rsid w:val="00D75906"/>
    <w:rsid w:val="00DA4710"/>
    <w:rsid w:val="00DA5F29"/>
    <w:rsid w:val="00E12B1C"/>
    <w:rsid w:val="00E54205"/>
    <w:rsid w:val="00E63A21"/>
    <w:rsid w:val="00E91083"/>
    <w:rsid w:val="00EA3A85"/>
    <w:rsid w:val="00EC4E5B"/>
    <w:rsid w:val="00E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DF0ED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2014-09-16T18:19:00Z</dcterms:created>
  <dcterms:modified xsi:type="dcterms:W3CDTF">2014-09-26T16:21:00Z</dcterms:modified>
</cp:coreProperties>
</file>